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85" w:after="85"/>
        <w:ind w:hanging="0" w:left="0" w:right="0"/>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76" w:before="85" w:after="85"/>
        <w:ind w:hanging="0" w:left="0" w:right="0"/>
        <w:jc w:val="center"/>
        <w:rPr>
          <w:rFonts w:ascii="Verdana" w:hAnsi="Verdana"/>
          <w:sz w:val="20"/>
          <w:szCs w:val="20"/>
        </w:rPr>
      </w:pPr>
      <w:r>
        <w:rPr>
          <w:rFonts w:cs="Arial" w:ascii="Verdana" w:hAnsi="Verdana"/>
          <w:b/>
          <w:bCs/>
          <w:smallCaps/>
          <w:color w:val="000000"/>
          <w:sz w:val="20"/>
          <w:szCs w:val="20"/>
        </w:rPr>
        <w:t>PREGÃO ELETRÔNICO Nº 060/2024</w:t>
      </w:r>
    </w:p>
    <w:p>
      <w:pPr>
        <w:pStyle w:val="Normal"/>
        <w:spacing w:lineRule="auto" w:line="276" w:before="85" w:after="85"/>
        <w:ind w:hanging="0" w:left="0" w:right="0"/>
        <w:jc w:val="center"/>
        <w:rPr>
          <w:rFonts w:ascii="Verdana" w:hAnsi="Verdana"/>
          <w:sz w:val="20"/>
          <w:szCs w:val="20"/>
        </w:rPr>
      </w:pPr>
      <w:r>
        <w:rPr>
          <w:rFonts w:cs="Arial" w:ascii="Verdana" w:hAnsi="Verdana"/>
          <w:b/>
          <w:bCs/>
          <w:smallCaps/>
          <w:color w:val="000000"/>
          <w:sz w:val="20"/>
          <w:szCs w:val="20"/>
        </w:rPr>
        <w:t>(Processo Administrativo n° 06309/2024 de 26/08/2024)</w:t>
      </w:r>
    </w:p>
    <w:p>
      <w:pPr>
        <w:pStyle w:val="Normal"/>
        <w:spacing w:lineRule="auto" w:line="276" w:before="28" w:after="28"/>
        <w:ind w:hanging="0" w:left="0" w:right="0"/>
        <w:jc w:val="center"/>
        <w:rPr>
          <w:rFonts w:ascii="Verdana" w:hAnsi="Verdana"/>
          <w:sz w:val="20"/>
          <w:szCs w:val="20"/>
        </w:rPr>
      </w:pPr>
      <w:r>
        <w:rPr>
          <w:rFonts w:ascii="Verdana" w:hAnsi="Verdana"/>
          <w:sz w:val="20"/>
          <w:szCs w:val="20"/>
        </w:rPr>
      </w:r>
    </w:p>
    <w:p>
      <w:pPr>
        <w:pStyle w:val="BodyText"/>
        <w:spacing w:lineRule="auto" w:line="276" w:before="85" w:after="85"/>
        <w:ind w:hanging="0" w:left="0" w:right="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28" w:after="28"/>
        <w:ind w:hanging="0" w:left="0" w:right="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85" w:after="85"/>
        <w:ind w:hanging="0" w:left="0" w:right="0"/>
        <w:jc w:val="both"/>
        <w:rPr>
          <w:rFonts w:ascii="Verdana" w:hAnsi="Verdana"/>
          <w:sz w:val="20"/>
          <w:szCs w:val="20"/>
        </w:rPr>
      </w:pPr>
      <w:r>
        <w:rPr>
          <w:rFonts w:cs="Arial" w:ascii="Verdana" w:hAnsi="Verdana"/>
          <w:b/>
          <w:bCs/>
          <w:color w:val="000000"/>
          <w:sz w:val="20"/>
          <w:szCs w:val="20"/>
        </w:rPr>
        <w:t>Data da sessão: 28/01/2024.</w:t>
      </w:r>
    </w:p>
    <w:p>
      <w:pPr>
        <w:pStyle w:val="Normal"/>
        <w:spacing w:lineRule="auto" w:line="276" w:before="85" w:after="85"/>
        <w:ind w:hanging="0" w:left="0" w:right="0"/>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76" w:before="85" w:after="85"/>
        <w:ind w:hanging="0" w:left="0" w:right="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85" w:after="85"/>
        <w:ind w:hanging="0" w:left="0" w:right="0"/>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0" w:after="0"/>
        <w:ind w:hanging="0" w:left="0" w:right="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rPr>
        <w:t>DO OBJETO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2" w:name="_Hlk148958481"/>
      <w:r>
        <w:rPr>
          <w:rFonts w:eastAsia="Batang;바탕" w:cs="Arial" w:ascii="Verdana" w:hAnsi="Verdana"/>
          <w:iCs/>
          <w:sz w:val="20"/>
          <w:szCs w:val="20"/>
        </w:rPr>
        <w:t xml:space="preserve">aquisição </w:t>
      </w:r>
      <w:r>
        <w:rPr>
          <w:rFonts w:ascii="Verdana" w:hAnsi="Verdana"/>
          <w:iCs/>
          <w:sz w:val="20"/>
          <w:szCs w:val="20"/>
        </w:rPr>
        <w:t xml:space="preserve">de </w:t>
      </w:r>
      <w:bookmarkEnd w:id="1"/>
      <w:bookmarkEnd w:id="2"/>
      <w:r>
        <w:rPr>
          <w:rFonts w:ascii="Verdana" w:hAnsi="Verdana"/>
          <w:iCs/>
          <w:sz w:val="20"/>
          <w:szCs w:val="20"/>
        </w:rPr>
        <w:t xml:space="preserve">equipamentos/mobiliário escolar para atender as Escolas da Rede Municipal de Ensino e a Secretaria Municipal de Educação, a fim de oferecer subsídios para o bom atendimento aos alunos e funcionários para um período de 1 ano,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85" w:after="85"/>
        <w:ind w:hanging="0" w:left="0" w:right="0"/>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85" w:after="85"/>
        <w:ind w:hanging="0" w:left="0" w:right="0"/>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85" w:after="85"/>
        <w:ind w:hanging="0" w:left="0" w:right="0"/>
        <w:jc w:val="both"/>
        <w:rPr>
          <w:rFonts w:ascii="Verdana" w:hAnsi="Verdana"/>
          <w:sz w:val="20"/>
          <w:szCs w:val="20"/>
          <w:highlight w:val="none"/>
          <w:shd w:fill="FFFF00" w:val="clear"/>
        </w:rPr>
      </w:pPr>
      <w:r>
        <w:rPr>
          <w:rFonts w:eastAsia="Batang;바탕" w:cs="Arial" w:ascii="Verdana" w:hAnsi="Verdana"/>
          <w:b/>
          <w:bCs/>
          <w:sz w:val="20"/>
          <w:szCs w:val="20"/>
          <w:shd w:fill="FFFF00" w:val="clear"/>
        </w:rPr>
        <w:t xml:space="preserve">a) </w:t>
      </w:r>
      <w:r>
        <w:rPr>
          <w:rFonts w:eastAsia="Batang;바탕" w:cs="Arial" w:ascii="Verdana" w:hAnsi="Verdana"/>
          <w:sz w:val="20"/>
          <w:szCs w:val="20"/>
          <w:shd w:fill="FFFF00" w:val="clear"/>
        </w:rPr>
        <w:t xml:space="preserve">A licitação correspondente aos itens 1 a 29 não ocorrerá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eastAsia="Batang;바탕" w:cs="Arial" w:ascii="Verdana" w:hAnsi="Verdana"/>
          <w:kern w:val="2"/>
          <w:sz w:val="20"/>
          <w:szCs w:val="20"/>
          <w:shd w:fill="FFFF00" w:val="clear"/>
          <w:lang w:eastAsia="zh-CN" w:bidi="hi-IN"/>
        </w:rPr>
        <w:t>unitário</w:t>
      </w:r>
      <w:r>
        <w:rPr>
          <w:rFonts w:eastAsia="Batang;바탕" w:cs="Arial" w:ascii="Verdana" w:hAnsi="Verdana"/>
          <w:sz w:val="20"/>
          <w:szCs w:val="20"/>
          <w:shd w:fill="FFFF00" w:val="clear"/>
        </w:rPr>
        <w:t>.</w:t>
      </w:r>
    </w:p>
    <w:p>
      <w:pPr>
        <w:pStyle w:val="Normal"/>
        <w:spacing w:lineRule="auto" w:line="276" w:before="85" w:after="85"/>
        <w:ind w:hanging="0" w:left="0" w:right="0"/>
        <w:jc w:val="both"/>
        <w:rPr>
          <w:rFonts w:ascii="Verdana" w:hAnsi="Verdana"/>
          <w:sz w:val="20"/>
          <w:szCs w:val="20"/>
          <w:highlight w:val="none"/>
          <w:shd w:fill="FFFF00" w:val="clear"/>
        </w:rPr>
      </w:pPr>
      <w:r>
        <w:rPr>
          <w:rFonts w:eastAsia="Batang;바탕" w:cs="Arial" w:ascii="Verdana" w:hAnsi="Verdana"/>
          <w:b/>
          <w:bCs/>
          <w:iCs/>
          <w:color w:val="000000"/>
          <w:sz w:val="20"/>
          <w:szCs w:val="20"/>
          <w:shd w:fill="FFFF00" w:val="clear"/>
        </w:rPr>
        <w:t xml:space="preserve">b) </w:t>
      </w:r>
      <w:r>
        <w:rPr>
          <w:rFonts w:eastAsia="Batang;바탕" w:cs="Arial" w:ascii="Verdana" w:hAnsi="Verdana"/>
          <w:b w:val="false"/>
          <w:bCs w:val="false"/>
          <w:iCs/>
          <w:color w:val="000000"/>
          <w:sz w:val="20"/>
          <w:szCs w:val="20"/>
          <w:shd w:fill="FFFF00" w:val="clear"/>
        </w:rPr>
        <w:t>Quanto aos i</w:t>
      </w:r>
      <w:r>
        <w:rPr>
          <w:rFonts w:eastAsia="Batang;바탕" w:cs="Arial" w:ascii="Verdana" w:hAnsi="Verdana"/>
          <w:iCs/>
          <w:color w:val="000000"/>
          <w:sz w:val="20"/>
          <w:szCs w:val="20"/>
          <w:shd w:fill="FFFF00" w:val="clear"/>
        </w:rPr>
        <w:t>tens 30 a 41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spacing w:lineRule="auto" w:line="276" w:before="85" w:after="85"/>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rPr>
        <w:t xml:space="preserve">DO REGISTRO DE PREÇOS </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85" w:after="85"/>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rPr>
        <w:t>DO CREDENCIAMENTO</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85" w:after="85"/>
        <w:ind w:hanging="0" w:left="0" w:right="0"/>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85" w:after="85"/>
        <w:ind w:hanging="0" w:left="0" w:right="0"/>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before="0" w:after="0"/>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rPr>
        <w:t>DA PARTICIPAÇÃO NO PREGÃO.</w:t>
      </w:r>
    </w:p>
    <w:p>
      <w:pPr>
        <w:pStyle w:val="Normal"/>
        <w:spacing w:lineRule="auto" w:line="276" w:before="85" w:after="85"/>
        <w:ind w:hanging="0" w:left="0" w:right="0"/>
        <w:jc w:val="both"/>
        <w:rPr/>
      </w:pPr>
      <w:r>
        <w:rPr>
          <w:rFonts w:cs="Arial" w:ascii="Verdana" w:hAnsi="Verdana"/>
          <w:bCs/>
          <w:color w:val="000000"/>
          <w:sz w:val="20"/>
          <w:szCs w:val="20"/>
        </w:rPr>
        <w:t xml:space="preserve">4.1 </w:t>
      </w:r>
      <w:r>
        <w:rPr>
          <w:rStyle w:val="InternetLink"/>
          <w:rFonts w:cs="Arial" w:ascii="Verdana" w:hAnsi="Verdana"/>
          <w:bCs/>
          <w:iCs/>
          <w:color w:val="000000"/>
          <w:sz w:val="20"/>
          <w:szCs w:val="20"/>
          <w:u w:val="none"/>
        </w:rPr>
        <w:t>Poderão participar da licitação as empresas interessadas,</w:t>
      </w:r>
      <w:r>
        <w:rPr>
          <w:rStyle w:val="InternetLink"/>
          <w:rFonts w:cs="Arial" w:ascii="Verdana" w:hAnsi="Verdana"/>
          <w:bCs/>
          <w:i/>
          <w:iCs/>
          <w:color w:val="000000"/>
          <w:sz w:val="20"/>
          <w:szCs w:val="20"/>
          <w:u w:val="none"/>
        </w:rPr>
        <w:t xml:space="preserve"> </w:t>
      </w:r>
      <w:r>
        <w:rPr>
          <w:rStyle w:val="InternetLink"/>
          <w:rFonts w:cs="Arial" w:ascii="Verdana" w:hAnsi="Verdana"/>
          <w:bCs/>
          <w:iCs/>
          <w:color w:val="000000"/>
          <w:sz w:val="20"/>
          <w:szCs w:val="20"/>
          <w:u w:val="none"/>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Cs/>
            <w:i/>
            <w:iCs/>
            <w:sz w:val="20"/>
            <w:szCs w:val="20"/>
            <w:u w:val="none"/>
          </w:rPr>
          <w:t>www.portaldecompraspublicas.com.br</w:t>
        </w:r>
      </w:hyperlink>
      <w:r>
        <w:rPr>
          <w:rStyle w:val="InternetLink"/>
          <w:rFonts w:cs="Arial" w:ascii="Verdana" w:hAnsi="Verdana"/>
          <w:bCs/>
          <w:iCs/>
          <w:sz w:val="20"/>
          <w:szCs w:val="20"/>
          <w:u w:val="none"/>
        </w:rPr>
        <w:t>.</w:t>
      </w:r>
    </w:p>
    <w:p>
      <w:pPr>
        <w:pStyle w:val="Normal"/>
        <w:spacing w:lineRule="auto" w:line="276" w:before="85" w:after="85"/>
        <w:ind w:hanging="0" w:left="0" w:right="0"/>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85" w:after="85"/>
        <w:ind w:hanging="0" w:left="0" w:right="0"/>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85" w:after="85"/>
        <w:ind w:hanging="0" w:left="0" w:right="0"/>
        <w:jc w:val="both"/>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2024</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napToGrid w:val="false"/>
        <w:spacing w:lineRule="auto" w:line="276" w:before="85" w:after="85"/>
        <w:ind w:hanging="0" w:left="0" w:right="0"/>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before="85" w:after="85"/>
        <w:ind w:hanging="0" w:left="0" w:right="0"/>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85" w:after="85"/>
        <w:ind w:hanging="0" w:left="0" w:right="0"/>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76" w:before="85" w:after="85"/>
        <w:ind w:hanging="0" w:left="0" w:righ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76" w:before="85" w:after="85"/>
        <w:ind w:hanging="0" w:left="0" w:right="0"/>
        <w:rPr>
          <w:rFonts w:ascii="Verdana" w:hAnsi="Verdana"/>
          <w:sz w:val="20"/>
          <w:szCs w:val="20"/>
        </w:rPr>
      </w:pPr>
      <w:bookmarkStart w:id="8" w:name="art14§2"/>
      <w:bookmarkEnd w:id="8"/>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76" w:before="85" w:after="85"/>
        <w:ind w:hanging="0" w:left="0" w:right="0"/>
        <w:rPr>
          <w:rFonts w:ascii="Verdana" w:hAnsi="Verdana"/>
          <w:sz w:val="20"/>
          <w:szCs w:val="20"/>
        </w:rPr>
      </w:pPr>
      <w:bookmarkStart w:id="9" w:name="art14§3"/>
      <w:bookmarkEnd w:id="9"/>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76" w:before="85" w:after="85"/>
        <w:ind w:hanging="0" w:left="0" w:right="0"/>
        <w:rPr>
          <w:rFonts w:ascii="Verdana" w:hAnsi="Verdana"/>
          <w:sz w:val="20"/>
          <w:szCs w:val="20"/>
        </w:rPr>
      </w:pPr>
      <w:bookmarkStart w:id="10" w:name="art14§4"/>
      <w:bookmarkEnd w:id="10"/>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76" w:before="85" w:after="85"/>
        <w:ind w:hanging="0" w:left="0" w:right="0"/>
        <w:rPr/>
      </w:pPr>
      <w:bookmarkStart w:id="11" w:name="art14§5"/>
      <w:bookmarkEnd w:id="11"/>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76" w:before="85" w:after="85"/>
        <w:ind w:hanging="0" w:left="0" w:righ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85" w:after="85"/>
        <w:ind w:hanging="0" w:left="0" w:righ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85" w:after="85"/>
        <w:ind w:hanging="0" w:left="0" w:righ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85" w:after="85"/>
        <w:ind w:hanging="0" w:left="0" w:righ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85" w:after="85"/>
        <w:ind w:hanging="0" w:left="0" w:righ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85" w:after="85"/>
        <w:ind w:hanging="0" w:left="0" w:righ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85" w:after="85"/>
        <w:ind w:hanging="0" w:left="0" w:righ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85" w:after="85"/>
        <w:ind w:hanging="0" w:left="0" w:righ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85" w:after="85"/>
        <w:ind w:hanging="0" w:left="0" w:right="0"/>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08"/>
          <w:tab w:val="left" w:pos="450" w:leader="none"/>
        </w:tabs>
        <w:spacing w:lineRule="auto" w:line="276" w:before="85" w:after="85"/>
        <w:ind w:hanging="0" w:left="0" w:righ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85" w:after="85"/>
        <w:ind w:hanging="0" w:left="0" w:righ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85" w:after="85"/>
        <w:ind w:hanging="0" w:left="0" w:righ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76" w:before="85" w:after="85"/>
        <w:ind w:hanging="0" w:left="0" w:right="0"/>
        <w:rPr>
          <w:rFonts w:ascii="Verdana" w:hAnsi="Verdana"/>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76" w:before="85" w:after="85"/>
        <w:ind w:hanging="0" w:left="0" w:righ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lote.</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85" w:after="85"/>
        <w:ind w:hanging="0" w:left="0" w:right="0"/>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85" w:after="85"/>
        <w:ind w:hanging="0" w:left="0" w:right="0"/>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before="85" w:after="85"/>
        <w:ind w:hanging="0" w:left="0" w:right="0"/>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85" w:after="85"/>
        <w:ind w:hanging="0" w:left="0" w:right="0"/>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01 (uma)</w:t>
      </w:r>
      <w:r>
        <w:rPr>
          <w:rFonts w:cs="Arial" w:ascii="Verdana" w:hAnsi="Verdana"/>
          <w:i/>
          <w:iCs/>
          <w:color w:val="000000"/>
          <w:sz w:val="20"/>
          <w:szCs w:val="20"/>
        </w:rPr>
        <w:t xml:space="preserve"> </w:t>
      </w:r>
      <w:r>
        <w:rPr>
          <w:rFonts w:cs="Arial" w:ascii="Verdana" w:hAnsi="Verdana"/>
          <w:color w:val="000000"/>
          <w:sz w:val="20"/>
          <w:szCs w:val="20"/>
        </w:rPr>
        <w:t xml:space="preserve">hora,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85" w:after="85"/>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76" w:before="85" w:after="85"/>
        <w:ind w:hanging="0" w:left="0" w:righ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85" w:after="85"/>
        <w:ind w:hanging="0" w:left="0" w:righ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85" w:after="85"/>
        <w:ind w:hanging="0" w:left="0" w:right="0"/>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85" w:after="85"/>
        <w:ind w:hanging="0" w:left="0" w:right="0"/>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before="85" w:after="85"/>
        <w:ind w:hanging="0" w:left="0" w:right="0"/>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76" w:before="85" w:after="85"/>
        <w:ind w:hanging="0" w:left="0" w:right="0"/>
        <w:rPr>
          <w:rFonts w:ascii="Verdana" w:hAnsi="Verdana"/>
          <w:sz w:val="20"/>
          <w:szCs w:val="20"/>
        </w:rPr>
      </w:pPr>
      <w:r>
        <w:rPr>
          <w:rFonts w:ascii="Verdana" w:hAnsi="Verdana"/>
          <w:sz w:val="20"/>
          <w:szCs w:val="20"/>
        </w:rPr>
        <w:t xml:space="preserve">8.4.4 apresentar preços inexequíveis ou permanecerem acima do preço máximo definido para a contratação; </w:t>
      </w:r>
    </w:p>
    <w:p>
      <w:pPr>
        <w:pStyle w:val="Normal"/>
        <w:tabs>
          <w:tab w:val="clear" w:pos="708"/>
          <w:tab w:val="left" w:pos="517" w:leader="none"/>
        </w:tabs>
        <w:spacing w:lineRule="auto" w:line="276" w:before="85" w:after="85"/>
        <w:ind w:hanging="0" w:left="0" w:right="0"/>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85" w:after="85"/>
        <w:ind w:hanging="0" w:left="0" w:righ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01 (uma) hora, sob pena de não aceitação da proposta.</w:t>
      </w:r>
    </w:p>
    <w:p>
      <w:pPr>
        <w:pStyle w:val="ListParagraph"/>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85" w:after="85"/>
        <w:ind w:hanging="0" w:left="0" w:righ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85" w:after="85"/>
        <w:ind w:hanging="0" w:left="0" w:righ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85" w:after="85"/>
        <w:ind w:hanging="0" w:left="0" w:righ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85" w:after="85"/>
        <w:ind w:hanging="0" w:left="0" w:right="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76" w:before="85" w:after="85"/>
        <w:ind w:hanging="0" w:left="0" w:righ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85" w:after="85"/>
        <w:ind w:hanging="0" w:left="0" w:righ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85" w:after="85"/>
        <w:ind w:hanging="0" w:left="0" w:righ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85" w:after="85"/>
        <w:ind w:hanging="0" w:left="0" w:right="0"/>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85" w:after="85"/>
        <w:ind w:hanging="0" w:left="0" w:righ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85" w:after="85"/>
        <w:ind w:hanging="0" w:left="0" w:righ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01 (uma) hora, sob pena de inabilitação.</w:t>
      </w:r>
    </w:p>
    <w:p>
      <w:pPr>
        <w:pStyle w:val="ListParagraph"/>
        <w:numPr>
          <w:ilvl w:val="1"/>
          <w:numId w:val="2"/>
        </w:numPr>
        <w:spacing w:lineRule="auto" w:line="276" w:before="85" w:after="85"/>
        <w:ind w:hanging="0" w:left="0" w:right="0"/>
        <w:contextualSpacing w:val="false"/>
        <w:jc w:val="both"/>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85" w:after="85"/>
        <w:ind w:hanging="0" w:left="0" w:right="0"/>
        <w:contextualSpacing w:val="false"/>
        <w:jc w:val="both"/>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85" w:after="85"/>
        <w:ind w:hanging="0" w:left="0" w:right="0"/>
        <w:contextualSpacing w:val="false"/>
        <w:jc w:val="both"/>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85" w:after="85"/>
        <w:ind w:hanging="0" w:left="0" w:right="0"/>
        <w:contextualSpacing w:val="false"/>
        <w:jc w:val="both"/>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85" w:after="85"/>
        <w:ind w:hanging="0" w:left="0" w:righ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85" w:after="85"/>
        <w:ind w:hanging="0" w:left="0" w:righ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85" w:after="85"/>
        <w:ind w:hanging="0" w:left="0" w:righ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85" w:after="85"/>
        <w:ind w:hanging="0" w:left="0" w:righ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85" w:after="85"/>
        <w:ind w:hanging="0" w:left="0" w:righ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85" w:after="85"/>
        <w:ind w:hanging="0" w:left="0" w:righ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85" w:after="85"/>
        <w:ind w:hanging="0" w:left="0" w:righ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85" w:after="85"/>
        <w:ind w:hanging="0" w:left="0" w:righ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85" w:after="85"/>
        <w:ind w:hanging="0" w:left="0" w:righ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85" w:after="85"/>
        <w:ind w:hanging="0" w:left="0" w:righ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85" w:after="85"/>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08"/>
          <w:tab w:val="left" w:pos="617" w:leader="none"/>
        </w:tabs>
        <w:spacing w:lineRule="auto" w:line="276" w:before="85" w:after="85"/>
        <w:ind w:hanging="0" w:left="0" w:right="0"/>
        <w:contextualSpacing w:val="false"/>
        <w:jc w:val="both"/>
        <w:rPr>
          <w:rFonts w:ascii="Verdana" w:hAnsi="Verdana"/>
          <w:sz w:val="20"/>
          <w:szCs w:val="20"/>
        </w:rPr>
      </w:pPr>
      <w:r>
        <w:rPr>
          <w:rFonts w:cs="Arial" w:ascii="Verdana" w:hAnsi="Verdana"/>
          <w:iCs/>
          <w:sz w:val="20"/>
          <w:szCs w:val="20"/>
        </w:rPr>
        <w:t>A proposta final do licitante declarado vencedor deverá ser encaminhada no prazo de até uma hora,</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85" w:after="85"/>
        <w:ind w:hanging="0" w:left="0" w:righ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85" w:after="85"/>
        <w:ind w:hanging="0" w:left="0" w:righ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85" w:after="85"/>
        <w:ind w:hanging="0" w:left="0" w:righ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85" w:after="85"/>
        <w:ind w:hanging="0" w:left="0" w:righ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85" w:after="85"/>
        <w:ind w:hanging="0" w:left="0" w:righ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85" w:after="85"/>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85" w:after="85"/>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76" w:before="85" w:after="85"/>
        <w:ind w:hanging="0" w:left="0" w:righ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85" w:after="85"/>
        <w:ind w:hanging="0" w:left="0" w:righ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85" w:after="85"/>
        <w:ind w:hanging="0" w:left="0" w:righ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85" w:after="85"/>
        <w:ind w:hanging="0" w:left="0" w:righ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85" w:after="85"/>
        <w:ind w:hanging="0" w:left="0" w:righ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85" w:after="85"/>
        <w:ind w:hanging="0" w:left="0" w:righ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85" w:after="85"/>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85" w:after="85"/>
        <w:ind w:hanging="0" w:left="0" w:right="0"/>
        <w:rPr>
          <w:rFonts w:ascii="Verdana" w:hAnsi="Verdana"/>
          <w:sz w:val="20"/>
          <w:szCs w:val="20"/>
        </w:rPr>
      </w:pPr>
      <w:r>
        <w:rPr>
          <w:rFonts w:cs="Arial" w:ascii="Verdana" w:hAnsi="Verdana"/>
          <w:color w:val="auto"/>
          <w:sz w:val="20"/>
          <w:szCs w:val="20"/>
        </w:rPr>
        <w:t xml:space="preserve">DA GARANTIA DE EXECUÇÃO </w:t>
      </w:r>
    </w:p>
    <w:p>
      <w:pPr>
        <w:pStyle w:val="ListParagraph"/>
        <w:numPr>
          <w:ilvl w:val="1"/>
          <w:numId w:val="2"/>
        </w:numPr>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85" w:after="85"/>
        <w:ind w:hanging="0" w:left="0" w:righ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85" w:after="85"/>
        <w:ind w:hanging="0" w:left="0" w:righ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76" w:before="85" w:after="85"/>
        <w:ind w:hanging="0" w:left="0" w:right="0"/>
        <w:rPr>
          <w:rFonts w:ascii="Verdana" w:hAnsi="Verdana"/>
          <w:sz w:val="20"/>
          <w:szCs w:val="20"/>
        </w:rPr>
      </w:pPr>
      <w:r>
        <w:rPr>
          <w:rFonts w:eastAsia="Segoe UI" w:cs="Arial" w:ascii="Verdana" w:hAnsi="Verdana"/>
          <w:bCs/>
          <w:color w:val="000000"/>
          <w:sz w:val="20"/>
          <w:szCs w:val="2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85" w:after="85"/>
        <w:ind w:hanging="0" w:left="0" w:right="0"/>
        <w:contextualSpacing w:val="false"/>
        <w:jc w:val="both"/>
        <w:rPr>
          <w:rFonts w:ascii="Verdana" w:hAnsi="Verdana"/>
          <w:bCs/>
          <w:sz w:val="20"/>
          <w:szCs w:val="20"/>
        </w:rPr>
      </w:pPr>
      <w:r>
        <w:rPr>
          <w:rFonts w:ascii="Verdana" w:hAnsi="Verdana"/>
          <w:bCs/>
          <w:sz w:val="20"/>
          <w:szCs w:val="20"/>
        </w:rPr>
      </w:r>
    </w:p>
    <w:p>
      <w:pPr>
        <w:pStyle w:val="Nivel01"/>
        <w:spacing w:lineRule="auto" w:line="276" w:before="85" w:after="85"/>
        <w:ind w:hanging="0" w:left="0" w:right="0"/>
        <w:rPr>
          <w:rFonts w:ascii="Verdana" w:hAnsi="Verdana"/>
          <w:sz w:val="20"/>
          <w:szCs w:val="20"/>
        </w:rPr>
      </w:pPr>
      <w:r>
        <w:rPr>
          <w:rFonts w:cs="Arial" w:ascii="Verdana" w:hAnsi="Verdana"/>
          <w:sz w:val="20"/>
          <w:szCs w:val="20"/>
        </w:rPr>
        <w:t>16. DO REAJUSTAMENTO EM SENTIDO GERAL</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85" w:after="85"/>
        <w:ind w:hanging="0" w:left="0" w:right="0"/>
        <w:rPr>
          <w:rFonts w:ascii="Verdana" w:hAnsi="Verdana"/>
          <w:sz w:val="20"/>
          <w:szCs w:val="20"/>
        </w:rPr>
      </w:pPr>
      <w:r>
        <w:rPr>
          <w:rFonts w:cs="Arial" w:ascii="Verdana" w:hAnsi="Verdana"/>
          <w:sz w:val="20"/>
          <w:szCs w:val="20"/>
        </w:rPr>
        <w:t>17. DA ACEITAÇÃO DO OBJETO E DA FISCALIZAÇÃO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da Ata anexos a este edital.</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85" w:after="85"/>
        <w:ind w:hanging="0" w:left="0" w:right="0"/>
        <w:rPr>
          <w:rFonts w:ascii="Verdana" w:hAnsi="Verdana"/>
          <w:sz w:val="20"/>
          <w:szCs w:val="20"/>
        </w:rPr>
      </w:pPr>
      <w:r>
        <w:rPr>
          <w:rFonts w:cs="Arial" w:ascii="Verdana" w:hAnsi="Verdana"/>
          <w:sz w:val="20"/>
          <w:szCs w:val="20"/>
          <w:lang w:eastAsia="en-US"/>
        </w:rPr>
        <w:t>18. DAS OBRIGAÇÕES DA CONTRATANTE E DA CONTRATADA</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85" w:after="85"/>
        <w:ind w:hanging="0" w:left="0" w:right="0"/>
        <w:rPr>
          <w:rFonts w:ascii="Verdana" w:hAnsi="Verdana"/>
          <w:sz w:val="20"/>
          <w:szCs w:val="20"/>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anexos a este edital.</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85" w:after="85"/>
        <w:ind w:hanging="0" w:left="0" w:right="0"/>
        <w:rPr>
          <w:rFonts w:ascii="Verdana" w:hAnsi="Verdana"/>
          <w:sz w:val="20"/>
          <w:szCs w:val="20"/>
        </w:rPr>
      </w:pPr>
      <w:r>
        <w:rPr>
          <w:rFonts w:cs="Arial" w:ascii="Verdana" w:hAnsi="Verdana"/>
          <w:sz w:val="20"/>
          <w:szCs w:val="20"/>
        </w:rPr>
        <w:t>20. DAS SANÇÕES ADMINISTRATIVAS.</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85" w:after="85"/>
        <w:ind w:hanging="0" w:left="0" w:right="0"/>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85" w:after="85"/>
        <w:ind w:hanging="0" w:left="0" w:right="0"/>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before="85" w:after="85"/>
        <w:ind w:hanging="0" w:left="0" w:right="0"/>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76" w:before="85" w:after="85"/>
        <w:ind w:hanging="0" w:left="0" w:right="0"/>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before="85" w:after="85"/>
        <w:ind w:hanging="0" w:left="0" w:right="0"/>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before="85" w:after="85"/>
        <w:ind w:hanging="0" w:left="0" w:right="0"/>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before="85" w:after="85"/>
        <w:ind w:hanging="0" w:left="0" w:right="0"/>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before="85" w:after="85"/>
        <w:ind w:hanging="0" w:left="0" w:right="0"/>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before="85" w:after="85"/>
        <w:ind w:hanging="0" w:left="0" w:right="0"/>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76" w:before="85" w:after="85"/>
        <w:ind w:hanging="0" w:left="0" w:righ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20.2.1 advertência;</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20.2.2 multa;</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 xml:space="preserve">20.4.1 </w:t>
      </w:r>
      <w:bookmarkStart w:id="20" w:name="_Hlk113876035"/>
      <w:bookmarkStart w:id="21" w:name="_Hlk113876035_Copia_1"/>
      <w:r>
        <w:rPr>
          <w:rFonts w:ascii="Verdana" w:hAnsi="Verdana"/>
          <w:sz w:val="20"/>
          <w:szCs w:val="20"/>
        </w:rPr>
        <w:t>Para as infrações previstas nos itens 20.1.1, 20.1.2 e 20.1.3, a multa será de 5% do valor do contrato licitado.</w:t>
      </w:r>
      <w:bookmarkEnd w:id="20"/>
      <w:bookmarkEnd w:id="21"/>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76" w:before="85" w:after="85"/>
        <w:ind w:hanging="0" w:left="0" w:righ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sz w:val="20"/>
          <w:szCs w:val="20"/>
          <w:rFonts w:ascii="Verdana" w:hAnsi="Verdana"/>
          <w:color w:val="000000"/>
        </w:rPr>
        <w:instrText xml:space="preserve"> HYPERLINK "http://www.planalto.gov.br/ccivil_03/_ato2019-2022/2021/lei/L14133.htm" \l "art156%C2%A75"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156, §5º, da Lei n.º 14.133/2021</w:t>
      </w:r>
      <w:r>
        <w:rPr>
          <w:rStyle w:val="ListLabel296"/>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76" w:before="85" w:after="85"/>
        <w:ind w:hanging="0" w:left="0" w:righ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76" w:before="85" w:after="85"/>
        <w:ind w:hanging="0" w:left="0" w:righ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76" w:before="85" w:after="85"/>
        <w:ind w:hanging="0" w:left="0" w:righ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76" w:before="85" w:after="85"/>
        <w:ind w:hanging="0" w:left="0" w:righ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85" w:after="85"/>
        <w:ind w:hanging="0" w:left="0" w:right="0"/>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85" w:after="85"/>
        <w:ind w:hanging="0" w:left="0" w:righ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85" w:after="85"/>
        <w:ind w:hanging="0" w:left="0" w:righ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85" w:after="85"/>
        <w:ind w:hanging="0" w:left="0" w:right="0"/>
        <w:contextualSpacing w:val="false"/>
        <w:jc w:val="both"/>
        <w:rPr>
          <w:rFonts w:ascii="Verdana" w:hAnsi="Verdana"/>
          <w:sz w:val="20"/>
          <w:szCs w:val="20"/>
        </w:rPr>
      </w:pPr>
      <w:r>
        <w:rPr>
          <w:rFonts w:ascii="Verdana" w:hAnsi="Verdana"/>
          <w:sz w:val="20"/>
          <w:szCs w:val="20"/>
        </w:rPr>
      </w:r>
    </w:p>
    <w:p>
      <w:pPr>
        <w:pStyle w:val="Nivel01"/>
        <w:spacing w:lineRule="auto" w:line="276" w:before="85" w:after="85"/>
        <w:ind w:hanging="0" w:left="0" w:right="0"/>
        <w:rPr>
          <w:rFonts w:ascii="Verdana" w:hAnsi="Verdana"/>
          <w:sz w:val="20"/>
          <w:szCs w:val="20"/>
        </w:rPr>
      </w:pPr>
      <w:r>
        <w:rPr>
          <w:rFonts w:cs="Arial" w:ascii="Verdana" w:hAnsi="Verdana"/>
          <w:sz w:val="20"/>
          <w:szCs w:val="20"/>
        </w:rPr>
        <w:t>22. DAS DISPOSIÇÕES GERAIS</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85" w:after="85"/>
        <w:ind w:hanging="0" w:left="0" w:right="0"/>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22.12.2.1 ANEXO I-1 – Estudo Técnico Preliminar;</w:t>
      </w:r>
    </w:p>
    <w:p>
      <w:pPr>
        <w:pStyle w:val="Normal"/>
        <w:spacing w:lineRule="auto" w:line="276" w:before="85" w:after="85"/>
        <w:ind w:hanging="0" w:left="0" w:right="0"/>
        <w:jc w:val="both"/>
        <w:rPr>
          <w:rFonts w:ascii="Verdana" w:hAnsi="Verdana"/>
          <w:sz w:val="20"/>
          <w:szCs w:val="20"/>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76" w:before="85" w:after="85"/>
        <w:ind w:hanging="0" w:left="0" w:right="0"/>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before="0" w:after="0"/>
        <w:ind w:hanging="0" w:left="0" w:righ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before="0" w:after="0"/>
        <w:ind w:hanging="0" w:left="0" w:righ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before="85" w:after="85"/>
        <w:ind w:hanging="0" w:left="0" w:right="0"/>
        <w:jc w:val="center"/>
        <w:outlineLvl w:val="0"/>
        <w:rPr>
          <w:rFonts w:ascii="Verdana" w:hAnsi="Verdana"/>
          <w:sz w:val="20"/>
          <w:szCs w:val="20"/>
        </w:rPr>
      </w:pPr>
      <w:r>
        <w:rPr>
          <w:rFonts w:cs="Arial" w:ascii="Verdana" w:hAnsi="Verdana"/>
          <w:color w:val="000000"/>
          <w:sz w:val="20"/>
          <w:szCs w:val="20"/>
        </w:rPr>
        <w:t>São Gabriel da Palha/ES, 16 de outubro de 2024.</w:t>
      </w:r>
    </w:p>
    <w:p>
      <w:pPr>
        <w:pStyle w:val="Normal"/>
        <w:tabs>
          <w:tab w:val="clear" w:pos="708"/>
          <w:tab w:val="left" w:pos="1440" w:leader="none"/>
        </w:tabs>
        <w:snapToGrid w:val="false"/>
        <w:spacing w:lineRule="auto" w:line="276" w:before="85" w:after="85"/>
        <w:ind w:hanging="0" w:left="0" w:right="0"/>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85" w:after="85"/>
        <w:ind w:hanging="0" w:left="0" w:right="0"/>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76" w:before="85" w:after="85"/>
        <w:ind w:hanging="0" w:left="0" w:right="0"/>
        <w:jc w:val="center"/>
        <w:outlineLvl w:val="0"/>
        <w:rPr>
          <w:rFonts w:ascii="Verdana" w:hAnsi="Verdana"/>
          <w:sz w:val="20"/>
          <w:szCs w:val="20"/>
        </w:rPr>
      </w:pPr>
      <w:r>
        <w:rPr>
          <w:rFonts w:eastAsia="" w:cs="Arial" w:ascii="Verdana" w:hAnsi="Verdana" w:eastAsiaTheme="majorEastAsia"/>
          <w:b/>
          <w:bCs/>
          <w:color w:val="000000"/>
          <w:sz w:val="20"/>
          <w:szCs w:val="20"/>
        </w:rPr>
        <w:t>MARLENE SILVA TEIXEIRA DE SOUZA</w:t>
      </w:r>
    </w:p>
    <w:p>
      <w:pPr>
        <w:pStyle w:val="Normal"/>
        <w:keepNext w:val="true"/>
        <w:keepLines/>
        <w:numPr>
          <w:ilvl w:val="0"/>
          <w:numId w:val="0"/>
        </w:numPr>
        <w:tabs>
          <w:tab w:val="clear" w:pos="708"/>
          <w:tab w:val="left" w:pos="567" w:leader="none"/>
        </w:tabs>
        <w:spacing w:lineRule="auto" w:line="276" w:before="85" w:after="85"/>
        <w:ind w:hanging="0" w:left="0" w:righ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Educação</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02" w:footer="9" w:bottom="8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lvlOverride w:ilvl="0">
      <w:startOverride w:val="1"/>
    </w:lvlOverride>
    <w:lvlOverride w:ilvl="1">
      <w:startOverride w:val="1"/>
    </w:lvlOverride>
  </w:num>
  <w:num w:numId="20">
    <w:abstractNumId w:val="2"/>
    <w:lvlOverride w:ilvl="0">
      <w:startOverride w:val="1"/>
    </w:lvlOverride>
    <w:lvlOverride w:ilvl="1">
      <w:startOverride w:val="1"/>
    </w:lvlOverride>
  </w:num>
  <w:num w:numId="21">
    <w:abstractNumId w:val="2"/>
    <w:lvlOverride w:ilvl="0">
      <w:startOverride w:val="1"/>
    </w:lvlOverride>
    <w:lvlOverride w:ilvl="1">
      <w:startOverride w:val="1"/>
    </w:lvlOverride>
  </w:num>
  <w:num w:numId="22">
    <w:abstractNumId w:val="2"/>
    <w:lvlOverride w:ilvl="0">
      <w:startOverride w:val="1"/>
    </w:lvlOverride>
    <w:lvlOverride w:ilvl="1">
      <w:startOverride w:val="1"/>
    </w:lvlOverride>
  </w:num>
  <w:num w:numId="23">
    <w:abstractNumId w:val="2"/>
    <w:lvlOverride w:ilvl="0">
      <w:startOverride w:val="1"/>
    </w:lvlOverride>
    <w:lvlOverride w:ilvl="1">
      <w:startOverride w:val="1"/>
    </w:lvlOverride>
  </w:num>
  <w:num w:numId="24">
    <w:abstractNumId w:val="2"/>
    <w:lvlOverride w:ilvl="0">
      <w:startOverride w:val="1"/>
    </w:lvlOverride>
    <w:lvlOverride w:ilvl="1">
      <w:startOverride w:val="1"/>
    </w:lvlOverride>
  </w:num>
  <w:num w:numId="25">
    <w:abstractNumId w:val="2"/>
    <w:lvlOverride w:ilvl="0">
      <w:startOverride w:val="1"/>
    </w:lvlOverride>
    <w:lvlOverride w:ilvl="1">
      <w:startOverride w:val="1"/>
    </w:lvlOverride>
  </w:num>
  <w:num w:numId="26">
    <w:abstractNumId w:val="2"/>
    <w:lvlOverride w:ilvl="0">
      <w:startOverride w:val="1"/>
    </w:lvlOverride>
    <w:lvlOverride w:ilvl="1">
      <w:startOverride w:val="1"/>
    </w:lvlOverride>
  </w:num>
  <w:num w:numId="27">
    <w:abstractNumId w:val="2"/>
  </w:num>
  <w:num w:numId="28">
    <w:abstractNumId w:val="2"/>
    <w:lvlOverride w:ilvl="0">
      <w:startOverride w:val="1"/>
    </w:lvlOverride>
    <w:lvlOverride w:ilvl="1">
      <w:startOverride w:val="1"/>
    </w:lvlOverride>
  </w:num>
  <w:num w:numId="29">
    <w:abstractNumId w:val="2"/>
    <w:lvlOverride w:ilvl="0">
      <w:startOverride w:val="1"/>
    </w:lvlOverride>
    <w:lvlOverride w:ilvl="1">
      <w:startOverride w:val="1"/>
    </w:lvlOverride>
  </w:num>
  <w:num w:numId="30">
    <w:abstractNumId w:val="2"/>
    <w:lvlOverride w:ilvl="0">
      <w:startOverride w:val="1"/>
    </w:lvlOverride>
    <w:lvlOverride w:ilvl="1">
      <w:startOverride w:val="1"/>
    </w:lvlOverride>
  </w:num>
  <w:num w:numId="31">
    <w:abstractNumId w:val="2"/>
    <w:lvlOverride w:ilvl="0">
      <w:startOverride w:val="1"/>
    </w:lvlOverride>
    <w:lvlOverride w:ilvl="1">
      <w:startOverride w:val="1"/>
    </w:lvlOverride>
  </w:num>
  <w:num w:numId="32">
    <w:abstractNumId w:val="2"/>
    <w:lvlOverride w:ilvl="0">
      <w:startOverride w:val="1"/>
    </w:lvlOverride>
    <w:lvlOverride w:ilvl="1">
      <w:startOverride w:val="1"/>
    </w:lvlOverride>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3199</TotalTime>
  <Application>LibreOffice/24.2.6.2$Windows_X86_64 LibreOffice_project/ef66aa7e36a1bb8e65bfbc63aba53045a14d0871</Application>
  <AppVersion>15.0000</AppVersion>
  <Pages>18</Pages>
  <Words>8466</Words>
  <Characters>47856</Characters>
  <CharactersWithSpaces>55935</CharactersWithSpaces>
  <Paragraphs>318</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2024-10-22T15:37:36Z</cp:lastPrinted>
  <dcterms:modified xsi:type="dcterms:W3CDTF">2025-01-09T15:07:33Z</dcterms:modified>
  <cp:revision>178</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